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5"/>
        <w:gridCol w:w="3352"/>
        <w:gridCol w:w="3321"/>
      </w:tblGrid>
      <w:tr w:rsidR="007F4D23" w:rsidRPr="00DA32B0" w14:paraId="5704133A" w14:textId="77777777" w:rsidTr="00BA3EDB">
        <w:tc>
          <w:tcPr>
            <w:tcW w:w="3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B4FD3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IMAÉJJEL LÉPÉSEI (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javaslat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243B1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Leírás</w:t>
            </w:r>
            <w:proofErr w:type="spellEnd"/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BC8D3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  <w:proofErr w:type="spellEnd"/>
          </w:p>
        </w:tc>
      </w:tr>
      <w:tr w:rsidR="007F4D23" w:rsidRPr="00DA32B0" w14:paraId="78FA4F36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28A5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Köszöntés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1DF28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Kárpát-medencei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Imaéjjel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rövid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ismertetője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célja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lépései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résztvevői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szervezői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BADA2C" w14:textId="77777777" w:rsidR="007F4D23" w:rsidRPr="00DA32B0" w:rsidRDefault="007F4D23" w:rsidP="007F4D2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ifivezetők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lelkészek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közösségek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vezetői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elmondják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miről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szól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egész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09F40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7F4D23" w:rsidRPr="00DA32B0" w14:paraId="255EA20E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DB93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szünet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72A5A" w14:textId="77777777" w:rsidR="007F4D23" w:rsidRPr="00DA32B0" w:rsidRDefault="007F4D23" w:rsidP="007F4D2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Ráhango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lazító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mélyítő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idő</w:t>
            </w:r>
            <w:proofErr w:type="spellEnd"/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0A173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4D23" w:rsidRPr="00DA32B0" w14:paraId="71439001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BAE6E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Imabomba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F8668" w14:textId="77777777" w:rsidR="007F4D23" w:rsidRPr="00F01AA5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Bevezetés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világába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rövid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elmélet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”,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bemutató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arról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hogy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mi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lényege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formái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én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hogyan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imádkozom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imádkozhatok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Szó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esik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imaformákról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meditációról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amiket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Silentium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egyéni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csendesség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alatt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gyakorlatba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lehet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ültetni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341274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vezetők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feladata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csatolt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segédanyagból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készülni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válogatni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E1B3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4D23" w:rsidRPr="00DA32B0" w14:paraId="01A4E85B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8597E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Silentium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E1C9A" w14:textId="77777777" w:rsidR="007F4D23" w:rsidRPr="00E70437" w:rsidRDefault="007F4D23" w:rsidP="00BA3EDB">
            <w:pPr>
              <w:rPr>
                <w:rFonts w:ascii="Times New Roman" w:hAnsi="Times New Roman" w:cs="Times New Roman"/>
                <w:sz w:val="22"/>
                <w:szCs w:val="22"/>
                <w:u w:val="single"/>
                <w:lang w:val="hu-HU"/>
              </w:rPr>
            </w:pP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Elcsendesed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és. Alkalom arra, hogy a frissen ért élményeket feldolgozhassuk és egyéb külső hatásokat elhallgattatva, engedjük Istent hozzánk szólni. </w:t>
            </w:r>
          </w:p>
          <w:p w14:paraId="6FEC1403" w14:textId="77777777" w:rsidR="007F4D23" w:rsidRPr="00E70437" w:rsidRDefault="007F4D23" w:rsidP="00BA3EDB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E70437">
              <w:rPr>
                <w:rFonts w:ascii="Times New Roman" w:hAnsi="Times New Roman" w:cs="Times New Roman"/>
                <w:sz w:val="22"/>
                <w:szCs w:val="22"/>
                <w:u w:val="single"/>
                <w:lang w:val="hu-HU"/>
              </w:rPr>
              <w:t>Formái:</w:t>
            </w:r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- </w:t>
            </w:r>
            <w:r w:rsidRPr="00E70437"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egyéni csendesség</w:t>
            </w:r>
          </w:p>
          <w:p w14:paraId="4EC8AFA6" w14:textId="77777777" w:rsidR="007F4D23" w:rsidRPr="00E70437" w:rsidRDefault="007F4D23" w:rsidP="00BA3EDB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Ki-ki elvonul szótlanul egy csendesebb helyre. Magával viheti a Bibliáját, jegyzetfüzetét vagy egyéb segédanyagot.</w:t>
            </w:r>
          </w:p>
          <w:p w14:paraId="04075730" w14:textId="77777777" w:rsidR="007F4D23" w:rsidRPr="00E70437" w:rsidRDefault="007F4D23" w:rsidP="00BA3EDB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ab/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-</w:t>
            </w:r>
            <w:r w:rsidRPr="00E70437"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közösségi</w:t>
            </w:r>
            <w:proofErr w:type="spellEnd"/>
            <w:r w:rsidRPr="00E70437"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 xml:space="preserve"> csendesség</w:t>
            </w:r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</w:p>
          <w:p w14:paraId="28A884C9" w14:textId="77777777" w:rsidR="007F4D23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Mindenki marad a közösségi térben, de senki sem szólal meg. Ez idő alatt lehet vetíteni kérdéseket, elgondolkodtató </w:t>
            </w:r>
            <w:proofErr w:type="gramStart"/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fotókat</w:t>
            </w:r>
            <w:proofErr w:type="gramEnd"/>
            <w:r w:rsidRPr="00E7043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stb. ami elősegíti az Istenre figyelést.</w:t>
            </w:r>
          </w:p>
          <w:p w14:paraId="63FADD4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imabombában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hallottak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gyakorlatba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ültetésére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kipróbálására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alkalmas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idő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7A07F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F4D23" w:rsidRPr="00DA32B0" w14:paraId="2EF005CA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291B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Ének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szünet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D358E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C7BA4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4D23" w:rsidRPr="00DA32B0" w14:paraId="06EC7D9F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AED9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Atyánk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9F0E8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Elmélkedés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felolvasása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Jézus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Krisztustól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tanult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imáról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BC474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F4D23" w:rsidRPr="00DA32B0" w14:paraId="23A2D4C6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BEA52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9100D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886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4D23" w:rsidRPr="00DA32B0" w14:paraId="6C87587B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9855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Rövid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szünet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D83DF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következő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lépés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előtt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javasoljuk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szünetet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mert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hosszabb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lélegzetvételű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igénybe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veszi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résztvevők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figyelmét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türelmét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C1FF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F4D23" w:rsidRPr="00DA32B0" w14:paraId="5E09D2D1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A68D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illúziótól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imáig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4A0D9" w14:textId="77777777" w:rsidR="007F4D23" w:rsidRPr="00DA32B0" w:rsidRDefault="007F4D23" w:rsidP="007F4D2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Henri J.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Nouwen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elmélkedése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imáról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75047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575047">
              <w:rPr>
                <w:rFonts w:ascii="Times New Roman" w:hAnsi="Times New Roman" w:cs="Times New Roman"/>
                <w:sz w:val="22"/>
                <w:szCs w:val="22"/>
              </w:rPr>
              <w:t>szöveget</w:t>
            </w:r>
            <w:proofErr w:type="spellEnd"/>
            <w:r w:rsidRPr="005750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75047">
              <w:rPr>
                <w:rFonts w:ascii="Times New Roman" w:hAnsi="Times New Roman" w:cs="Times New Roman"/>
                <w:sz w:val="22"/>
                <w:szCs w:val="22"/>
              </w:rPr>
              <w:t>hangfelvételről</w:t>
            </w:r>
            <w:proofErr w:type="spellEnd"/>
            <w:r w:rsidRPr="005750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75047">
              <w:rPr>
                <w:rFonts w:ascii="Times New Roman" w:hAnsi="Times New Roman" w:cs="Times New Roman"/>
                <w:sz w:val="22"/>
                <w:szCs w:val="22"/>
              </w:rPr>
              <w:t>hallgatják</w:t>
            </w:r>
            <w:proofErr w:type="spellEnd"/>
          </w:p>
          <w:p w14:paraId="174B8D23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22532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F4D23" w:rsidRPr="00DA32B0" w14:paraId="731F04DA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98C18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Ének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szünet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04B56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6FB2F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4D23" w:rsidRPr="00DA32B0" w14:paraId="39F40776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A03AE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Sztorizgatások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bizonyságtételek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BCDA8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erejének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bemutatása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személyes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történeteken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imameghallgatások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megosztásán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keresztül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Egy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kötetlenebb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rész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alatt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bárki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megszólalhat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elmesélheti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megtapasztalásait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élményeit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természetesen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imával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kapcsolatos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D564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F4D23" w:rsidRPr="00DA32B0" w14:paraId="1E663BA2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F1BA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Ének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szünet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48AB7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A7F65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4D23" w:rsidRPr="00DA32B0" w14:paraId="2A781673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6633"/>
          </w:tcPr>
          <w:p w14:paraId="530A6594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 A  KÁRPÁT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MEDEN-CÉBEN ÉJFÉLKOR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7D3A7" w14:textId="77777777" w:rsidR="007F4D23" w:rsidRPr="00E70437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imaéjjelen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résztvevő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Kárpát-medencei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közösségek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imakéréseinek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imába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foglalása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éjfélkor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minden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ország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időzónája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szerint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Persze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figyelembe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vehetünk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minden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éjfélt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gondolhatunk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rá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akár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fel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hívhatjuk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mindenki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figyelmét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arra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hogy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épp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melyik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országban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van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éjfél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hol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imádkoznak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már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egymásért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értünk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8AF954B" w14:textId="77777777" w:rsidR="007F4D23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begyűlt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imakéréseket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szervezők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kinyomtathatják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akár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kiscsoportokban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akár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közösen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egyszerre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mind (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létszámtól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függően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imádkozhatják</w:t>
            </w:r>
            <w:proofErr w:type="spellEnd"/>
            <w:r w:rsidRPr="00E704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2FF401B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B07D4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</w:tc>
      </w:tr>
      <w:tr w:rsidR="007F4D23" w:rsidRPr="00DA32B0" w14:paraId="3059A6A1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09B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élmény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BF724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Csapat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és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közösségépítő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játékok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élménypedagógia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világából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885005C" w14:textId="77777777" w:rsidR="007F4D23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felkínált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játékokból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akár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elején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játszhatnak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résztvevők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bemelegítésképp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6BB2EC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(Anthony de Mello)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BD7FC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</w:tc>
      </w:tr>
      <w:tr w:rsidR="007F4D23" w:rsidRPr="00DA32B0" w14:paraId="15BC4A26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3E4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Éneklés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szünet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46184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DED7A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4D23" w:rsidRPr="00DA32B0" w14:paraId="1D686BFE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54BC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8DF11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27E00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F4D23" w:rsidRPr="00DA32B0" w14:paraId="1D191F51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3A646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Úrvacsorára</w:t>
            </w:r>
            <w:proofErr w:type="spellEnd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hangoló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EA25A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Szünet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ének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liturgia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szerint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6FEC9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F4D23" w:rsidRPr="00DA32B0" w14:paraId="5D40AF10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3260A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Úrvacsora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72FA4" w14:textId="77777777" w:rsidR="007F4D23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imaéjjel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egyik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zárómozzanata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lehet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úrvacsora</w:t>
            </w:r>
            <w:proofErr w:type="spellEnd"/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39B7088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Előkészületek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az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ifivezető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lelkipásztor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feladata</w:t>
            </w:r>
            <w:proofErr w:type="spellEnd"/>
            <w:r w:rsidRPr="00F01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8F5F7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2B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7F4D23" w:rsidRPr="00DA32B0" w14:paraId="3CC161F3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EAB5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2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Ámen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0D8D4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B03E5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D23" w:rsidRPr="00DA32B0" w14:paraId="0B9F22A1" w14:textId="77777777" w:rsidTr="00BA3EDB"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7878F" w14:textId="77777777" w:rsidR="007F4D23" w:rsidRPr="00DA32B0" w:rsidRDefault="007F4D23" w:rsidP="00BA3ED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86273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A607" w14:textId="77777777" w:rsidR="007F4D23" w:rsidRPr="00DA32B0" w:rsidRDefault="007F4D23" w:rsidP="00BA3ED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0023EC" w14:textId="77777777" w:rsidR="00B16AF4" w:rsidRDefault="00B16AF4"/>
    <w:sectPr w:rsidR="00B1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3"/>
    <w:rsid w:val="007F4D23"/>
    <w:rsid w:val="00B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23E"/>
  <w15:chartTrackingRefBased/>
  <w15:docId w15:val="{C7BB388E-E469-44C1-BCF0-713B684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D2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7F4D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Ráksi Lajos</dc:creator>
  <cp:keywords/>
  <dc:description/>
  <cp:lastModifiedBy>Ráksi Lajos</cp:lastModifiedBy>
  <cp:revision>1</cp:revision>
  <dcterms:created xsi:type="dcterms:W3CDTF">2014-10-10T06:30:00Z</dcterms:created>
  <dcterms:modified xsi:type="dcterms:W3CDTF">2014-10-10T06:36:00Z</dcterms:modified>
</cp:coreProperties>
</file>